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2020</w:t>
      </w:r>
      <w:r w:rsidDel="00000000" w:rsidR="00000000" w:rsidRPr="00000000">
        <w:rPr>
          <w:rFonts w:ascii="Calibri" w:cs="Calibri" w:eastAsia="Calibri" w:hAnsi="Calibri"/>
          <w:b w:val="1"/>
          <w:color w:val="999999"/>
          <w:sz w:val="28"/>
          <w:szCs w:val="28"/>
          <w:rtl w:val="0"/>
        </w:rPr>
        <w:t xml:space="preserve"> </w:t>
      </w:r>
      <w:r w:rsidDel="00000000" w:rsidR="00000000" w:rsidRPr="00000000">
        <w:rPr>
          <w:rFonts w:ascii="Calibri" w:cs="Calibri" w:eastAsia="Calibri" w:hAnsi="Calibri"/>
          <w:b w:val="1"/>
          <w:color w:val="000000"/>
          <w:sz w:val="28"/>
          <w:szCs w:val="28"/>
          <w:rtl w:val="0"/>
        </w:rPr>
        <w:t xml:space="preserve">Chinese I</w:t>
      </w:r>
      <w:r w:rsidDel="00000000" w:rsidR="00000000" w:rsidRPr="00000000">
        <w:rPr>
          <w:rFonts w:ascii="Calibri" w:cs="Calibri" w:eastAsia="Calibri" w:hAnsi="Calibri"/>
          <w:b w:val="1"/>
          <w:color w:val="999999"/>
          <w:sz w:val="28"/>
          <w:szCs w:val="28"/>
          <w:rtl w:val="0"/>
        </w:rPr>
        <w:t xml:space="preserve"> </w:t>
      </w:r>
      <w:r w:rsidDel="00000000" w:rsidR="00000000" w:rsidRPr="00000000">
        <w:rPr>
          <w:rFonts w:ascii="Calibri" w:cs="Calibri" w:eastAsia="Calibri" w:hAnsi="Calibri"/>
          <w:b w:val="1"/>
          <w:sz w:val="28"/>
          <w:szCs w:val="28"/>
          <w:rtl w:val="0"/>
        </w:rPr>
        <w:t xml:space="preserve"> Summer Scholar’s Guide User’s Guide</w:t>
      </w:r>
    </w:p>
    <w:p w:rsidR="00000000" w:rsidDel="00000000" w:rsidP="00000000" w:rsidRDefault="00000000" w:rsidRPr="00000000" w14:paraId="00000002">
      <w:pPr>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3">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The World Language Summer Scholar’s Guide bridges the gap between levels. It connects the most critical concepts from the previous level to the next level. </w:t>
      </w:r>
    </w:p>
    <w:p w:rsidR="00000000" w:rsidDel="00000000" w:rsidP="00000000" w:rsidRDefault="00000000" w:rsidRPr="00000000" w14:paraId="00000004">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05">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Under normal circumstances, Level I students should have reached a Novice Mid proficiency level. Given the unplanned abrupt end to the Spring 2020 semester, students may have only had the opportunity to reach Novice Low proficiency. Normally, Level 2 students would begin the semester at Novice Mid reaching for Novice High. This Summer Scholar’s Guide will help preserve learning and provide an opportunity for students to still reach an Novice Mid proficiency level by the end of Level I.</w:t>
      </w:r>
    </w:p>
    <w:p w:rsidR="00000000" w:rsidDel="00000000" w:rsidP="00000000" w:rsidRDefault="00000000" w:rsidRPr="00000000" w14:paraId="00000006">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7">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Suggested pacing is provided in the chart below. Following this pace will help you retain prior learning and progress more quickly to the next proficiency level once we return to school.</w:t>
      </w:r>
    </w:p>
    <w:p w:rsidR="00000000" w:rsidDel="00000000" w:rsidP="00000000" w:rsidRDefault="00000000" w:rsidRPr="00000000" w14:paraId="00000008">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9">
      <w:pPr>
        <w:jc w:val="center"/>
        <w:rPr>
          <w:rFonts w:ascii="Calibri" w:cs="Calibri" w:eastAsia="Calibri" w:hAnsi="Calibri"/>
          <w:color w:val="999999"/>
          <w:sz w:val="28"/>
          <w:szCs w:val="28"/>
        </w:rPr>
      </w:pPr>
      <w:r w:rsidDel="00000000" w:rsidR="00000000" w:rsidRPr="00000000">
        <w:rPr>
          <w:rFonts w:ascii="Calibri" w:cs="Calibri" w:eastAsia="Calibri" w:hAnsi="Calibri"/>
          <w:b w:val="1"/>
          <w:sz w:val="28"/>
          <w:szCs w:val="28"/>
          <w:rtl w:val="0"/>
        </w:rPr>
        <w:t xml:space="preserve">Suggested Pacing</w:t>
      </w:r>
      <w:r w:rsidDel="00000000" w:rsidR="00000000" w:rsidRPr="00000000">
        <w:rPr>
          <w:rtl w:val="0"/>
        </w:rPr>
      </w:r>
    </w:p>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0A">
            <w:pPr>
              <w:rPr>
                <w:rFonts w:ascii="Times New Roman" w:cs="Times New Roman" w:eastAsia="Times New Roman" w:hAnsi="Times New Roman"/>
                <w:sz w:val="28"/>
                <w:szCs w:val="28"/>
              </w:rPr>
            </w:pPr>
            <w:sdt>
              <w:sdtPr>
                <w:tag w:val="goog_rdk_0"/>
              </w:sdtPr>
              <w:sdtContent>
                <w:r w:rsidDel="00000000" w:rsidR="00000000" w:rsidRPr="00000000">
                  <w:rPr>
                    <w:rFonts w:ascii="Gungsuh" w:cs="Gungsuh" w:eastAsia="Gungsuh" w:hAnsi="Gungsuh"/>
                    <w:sz w:val="28"/>
                    <w:szCs w:val="28"/>
                    <w:rtl w:val="0"/>
                  </w:rPr>
                  <w:t xml:space="preserve">Mini Module 1 （Week 1）</w:t>
                  <w:tab/>
                </w:r>
              </w:sdtContent>
            </w:sdt>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rPr>
                <w:rFonts w:ascii="Times New Roman" w:cs="Times New Roman" w:eastAsia="Times New Roman" w:hAnsi="Times New Roman"/>
                <w:color w:val="000000"/>
                <w:sz w:val="28"/>
                <w:szCs w:val="28"/>
              </w:rPr>
            </w:pPr>
            <w:sdt>
              <w:sdtPr>
                <w:tag w:val="goog_rdk_1"/>
              </w:sdtPr>
              <w:sdtContent>
                <w:r w:rsidDel="00000000" w:rsidR="00000000" w:rsidRPr="00000000">
                  <w:rPr>
                    <w:rFonts w:ascii="Gungsuh" w:cs="Gungsuh" w:eastAsia="Gungsuh" w:hAnsi="Gungsuh"/>
                    <w:color w:val="000000"/>
                    <w:sz w:val="28"/>
                    <w:szCs w:val="28"/>
                    <w:rtl w:val="0"/>
                  </w:rPr>
                  <w:t xml:space="preserve">Lesson 8 – 下课以后你有事吗</w:t>
                </w:r>
              </w:sdtContent>
            </w:sdt>
          </w:p>
          <w:p w:rsidR="00000000" w:rsidDel="00000000" w:rsidP="00000000" w:rsidRDefault="00000000" w:rsidRPr="00000000" w14:paraId="0000000C">
            <w:pPr>
              <w:widowControl w:val="0"/>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Module 1: Vocabulary Introduction</w:t>
            </w:r>
          </w:p>
        </w:tc>
      </w:tr>
      <w:tr>
        <w:tc>
          <w:tcPr>
            <w:shd w:fill="auto" w:val="clear"/>
            <w:tcMar>
              <w:top w:w="100.0" w:type="dxa"/>
              <w:left w:w="100.0" w:type="dxa"/>
              <w:bottom w:w="100.0" w:type="dxa"/>
              <w:right w:w="100.0" w:type="dxa"/>
            </w:tcMar>
          </w:tcPr>
          <w:p w:rsidR="00000000" w:rsidDel="00000000" w:rsidP="00000000" w:rsidRDefault="00000000" w:rsidRPr="00000000" w14:paraId="000000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Mini Module 2   (Week 2)</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Module 2: Grammar Points</w:t>
            </w:r>
          </w:p>
        </w:tc>
      </w:tr>
      <w:tr>
        <w:tc>
          <w:tcPr>
            <w:shd w:fill="auto" w:val="clear"/>
            <w:tcMar>
              <w:top w:w="100.0" w:type="dxa"/>
              <w:left w:w="100.0" w:type="dxa"/>
              <w:bottom w:w="100.0" w:type="dxa"/>
              <w:right w:w="100.0" w:type="dxa"/>
            </w:tcMar>
          </w:tcPr>
          <w:p w:rsidR="00000000" w:rsidDel="00000000" w:rsidP="00000000" w:rsidRDefault="00000000" w:rsidRPr="00000000" w14:paraId="0000000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Mini Module 3  (Week 3)</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Module 3: Assessment</w:t>
            </w:r>
          </w:p>
        </w:tc>
      </w:tr>
      <w:tr>
        <w:tc>
          <w:tcPr>
            <w:shd w:fill="auto" w:val="clear"/>
            <w:tcMar>
              <w:top w:w="100.0" w:type="dxa"/>
              <w:left w:w="100.0" w:type="dxa"/>
              <w:bottom w:w="100.0" w:type="dxa"/>
              <w:right w:w="100.0" w:type="dxa"/>
            </w:tcMar>
          </w:tcPr>
          <w:p w:rsidR="00000000" w:rsidDel="00000000" w:rsidP="00000000" w:rsidRDefault="00000000" w:rsidRPr="00000000" w14:paraId="000000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Mini Module 4 (Week 4)</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spacing w:line="240" w:lineRule="auto"/>
              <w:rPr>
                <w:rFonts w:ascii="Times New Roman" w:cs="Times New Roman" w:eastAsia="Times New Roman" w:hAnsi="Times New Roman"/>
                <w:sz w:val="28"/>
                <w:szCs w:val="28"/>
              </w:rPr>
            </w:pPr>
            <w:sdt>
              <w:sdtPr>
                <w:tag w:val="goog_rdk_2"/>
              </w:sdtPr>
              <w:sdtContent>
                <w:r w:rsidDel="00000000" w:rsidR="00000000" w:rsidRPr="00000000">
                  <w:rPr>
                    <w:rFonts w:ascii="Gungsuh" w:cs="Gungsuh" w:eastAsia="Gungsuh" w:hAnsi="Gungsuh"/>
                    <w:sz w:val="28"/>
                    <w:szCs w:val="28"/>
                    <w:rtl w:val="0"/>
                  </w:rPr>
                  <w:t xml:space="preserve">Lesson 9 – 打电话</w:t>
                </w:r>
              </w:sdtContent>
            </w:sdt>
          </w:p>
          <w:p w:rsidR="00000000" w:rsidDel="00000000" w:rsidP="00000000" w:rsidRDefault="00000000" w:rsidRPr="00000000" w14:paraId="00000013">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Module 1: Vocabulary Introduction</w:t>
            </w:r>
          </w:p>
        </w:tc>
      </w:tr>
      <w:tr>
        <w:tc>
          <w:tcPr>
            <w:shd w:fill="auto" w:val="clear"/>
            <w:tcMar>
              <w:top w:w="100.0" w:type="dxa"/>
              <w:left w:w="100.0" w:type="dxa"/>
              <w:bottom w:w="100.0" w:type="dxa"/>
              <w:right w:w="100.0" w:type="dxa"/>
            </w:tcMar>
          </w:tcPr>
          <w:p w:rsidR="00000000" w:rsidDel="00000000" w:rsidP="00000000" w:rsidRDefault="00000000" w:rsidRPr="00000000" w14:paraId="000000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Mini Module 5  (Week 5)</w:t>
            </w:r>
          </w:p>
        </w:tc>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Module 2: Grammar Points</w:t>
            </w:r>
          </w:p>
        </w:tc>
      </w:tr>
      <w:tr>
        <w:tc>
          <w:tcPr>
            <w:shd w:fill="auto" w:val="clear"/>
            <w:tcMar>
              <w:top w:w="100.0" w:type="dxa"/>
              <w:left w:w="100.0" w:type="dxa"/>
              <w:bottom w:w="100.0" w:type="dxa"/>
              <w:right w:w="100.0" w:type="dxa"/>
            </w:tcMar>
          </w:tcPr>
          <w:p w:rsidR="00000000" w:rsidDel="00000000" w:rsidP="00000000" w:rsidRDefault="00000000" w:rsidRPr="00000000" w14:paraId="000000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Mini Module 6  (Week 6)</w:t>
            </w:r>
          </w:p>
        </w:tc>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Module 3: Assessment</w:t>
            </w:r>
          </w:p>
        </w:tc>
      </w:tr>
      <w:tr>
        <w:tc>
          <w:tcPr>
            <w:shd w:fill="auto" w:val="clear"/>
            <w:tcMar>
              <w:top w:w="100.0" w:type="dxa"/>
              <w:left w:w="100.0" w:type="dxa"/>
              <w:bottom w:w="100.0" w:type="dxa"/>
              <w:right w:w="100.0" w:type="dxa"/>
            </w:tcMar>
          </w:tcPr>
          <w:p w:rsidR="00000000" w:rsidDel="00000000" w:rsidP="00000000" w:rsidRDefault="00000000" w:rsidRPr="00000000" w14:paraId="000000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Mini Module 7       (Week 7)</w:t>
            </w:r>
          </w:p>
        </w:tc>
        <w:tc>
          <w:tcPr>
            <w:shd w:fill="auto" w:val="clear"/>
            <w:tcMar>
              <w:top w:w="100.0" w:type="dxa"/>
              <w:left w:w="100.0" w:type="dxa"/>
              <w:bottom w:w="100.0" w:type="dxa"/>
              <w:right w:w="100.0" w:type="dxa"/>
            </w:tcMar>
          </w:tcPr>
          <w:p w:rsidR="00000000" w:rsidDel="00000000" w:rsidP="00000000" w:rsidRDefault="00000000" w:rsidRPr="00000000" w14:paraId="00000019">
            <w:pPr>
              <w:widowControl w:val="0"/>
              <w:spacing w:line="240" w:lineRule="auto"/>
              <w:rPr>
                <w:rFonts w:ascii="Times New Roman" w:cs="Times New Roman" w:eastAsia="Times New Roman" w:hAnsi="Times New Roman"/>
                <w:color w:val="999999"/>
                <w:sz w:val="28"/>
                <w:szCs w:val="28"/>
              </w:rPr>
            </w:pPr>
            <w:sdt>
              <w:sdtPr>
                <w:tag w:val="goog_rdk_3"/>
              </w:sdtPr>
              <w:sdtContent>
                <w:r w:rsidDel="00000000" w:rsidR="00000000" w:rsidRPr="00000000">
                  <w:rPr>
                    <w:rFonts w:ascii="Gungsuh" w:cs="Gungsuh" w:eastAsia="Gungsuh" w:hAnsi="Gungsuh"/>
                    <w:color w:val="000000"/>
                    <w:sz w:val="28"/>
                    <w:szCs w:val="28"/>
                    <w:rtl w:val="0"/>
                  </w:rPr>
                  <w:t xml:space="preserve">Module 4: 怎么用”你知道…吗？</w:t>
                </w:r>
              </w:sdtContent>
            </w:sdt>
            <w:r w:rsidDel="00000000" w:rsidR="00000000" w:rsidRPr="00000000">
              <w:rPr>
                <w:rtl w:val="0"/>
              </w:rPr>
            </w:r>
          </w:p>
        </w:tc>
      </w:tr>
      <w:tr>
        <w:tc>
          <w:tcPr>
            <w:shd w:fill="auto" w:val="clear"/>
            <w:tcMar>
              <w:top w:w="100.0" w:type="dxa"/>
              <w:left w:w="100.0" w:type="dxa"/>
              <w:bottom w:w="100.0" w:type="dxa"/>
              <w:right w:w="100.0" w:type="dxa"/>
            </w:tcMar>
          </w:tcPr>
          <w:p w:rsidR="00000000" w:rsidDel="00000000" w:rsidP="00000000" w:rsidRDefault="00000000" w:rsidRPr="00000000" w14:paraId="0000001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Mini Module 8    (Week 8)</w:t>
            </w:r>
          </w:p>
        </w:tc>
        <w:tc>
          <w:tcPr>
            <w:shd w:fill="auto" w:val="clear"/>
            <w:tcMar>
              <w:top w:w="100.0" w:type="dxa"/>
              <w:left w:w="100.0" w:type="dxa"/>
              <w:bottom w:w="100.0" w:type="dxa"/>
              <w:right w:w="100.0" w:type="dxa"/>
            </w:tcMar>
          </w:tcPr>
          <w:p w:rsidR="00000000" w:rsidDel="00000000" w:rsidP="00000000" w:rsidRDefault="00000000" w:rsidRPr="00000000" w14:paraId="0000001B">
            <w:pPr>
              <w:widowControl w:val="0"/>
              <w:spacing w:line="240" w:lineRule="auto"/>
              <w:rPr>
                <w:rFonts w:ascii="Times New Roman" w:cs="Times New Roman" w:eastAsia="Times New Roman" w:hAnsi="Times New Roman"/>
                <w:color w:val="999999"/>
                <w:sz w:val="28"/>
                <w:szCs w:val="28"/>
              </w:rPr>
            </w:pPr>
            <w:r w:rsidDel="00000000" w:rsidR="00000000" w:rsidRPr="00000000">
              <w:rPr>
                <w:rFonts w:ascii="Times New Roman" w:cs="Times New Roman" w:eastAsia="Times New Roman" w:hAnsi="Times New Roman"/>
                <w:color w:val="000000"/>
                <w:sz w:val="28"/>
                <w:szCs w:val="28"/>
                <w:rtl w:val="0"/>
              </w:rPr>
              <w:t xml:space="preserve">Lesson 7 Sentence Structure Review</w:t>
            </w:r>
            <w:r w:rsidDel="00000000" w:rsidR="00000000" w:rsidRPr="00000000">
              <w:rPr>
                <w:rtl w:val="0"/>
              </w:rPr>
            </w:r>
          </w:p>
        </w:tc>
      </w:tr>
    </w:tbl>
    <w:p w:rsidR="00000000" w:rsidDel="00000000" w:rsidP="00000000" w:rsidRDefault="00000000" w:rsidRPr="00000000" w14:paraId="0000001C">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1D">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Resources</w:t>
      </w:r>
    </w:p>
    <w:p w:rsidR="00000000" w:rsidDel="00000000" w:rsidP="00000000" w:rsidRDefault="00000000" w:rsidRPr="00000000" w14:paraId="0000001E">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The resource page links to other outside platforms which students can use on their own for additional practice. Some of these platforms may require users to set-up an account. Students should check with their parent/guardian before setting up accounts with outside platforms since the world language department cannot guarantee how all of these platforms use information that is collected when setting up accounts. </w:t>
      </w:r>
    </w:p>
    <w:p w:rsidR="00000000" w:rsidDel="00000000" w:rsidP="00000000" w:rsidRDefault="00000000" w:rsidRPr="00000000" w14:paraId="0000001F">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20">
      <w:pPr>
        <w:rPr>
          <w:rFonts w:ascii="Cambria" w:cs="Cambria" w:eastAsia="Cambria" w:hAnsi="Cambria"/>
          <w:sz w:val="28"/>
          <w:szCs w:val="28"/>
        </w:rPr>
      </w:pPr>
      <w:hyperlink r:id="rId7">
        <w:r w:rsidDel="00000000" w:rsidR="00000000" w:rsidRPr="00000000">
          <w:rPr>
            <w:rFonts w:ascii="Cambria" w:cs="Cambria" w:eastAsia="Cambria" w:hAnsi="Cambria"/>
            <w:color w:val="0000ff"/>
            <w:sz w:val="28"/>
            <w:szCs w:val="28"/>
            <w:u w:val="single"/>
            <w:rtl w:val="0"/>
          </w:rPr>
          <w:t xml:space="preserve">Textbook Listening Resources</w:t>
        </w:r>
      </w:hyperlink>
      <w:r w:rsidDel="00000000" w:rsidR="00000000" w:rsidRPr="00000000">
        <w:rPr>
          <w:rtl w:val="0"/>
        </w:rPr>
      </w:r>
    </w:p>
    <w:p w:rsidR="00000000" w:rsidDel="00000000" w:rsidP="00000000" w:rsidRDefault="00000000" w:rsidRPr="00000000" w14:paraId="00000021">
      <w:pPr>
        <w:rPr>
          <w:rFonts w:ascii="Cambria" w:cs="Cambria" w:eastAsia="Cambria" w:hAnsi="Cambria"/>
          <w:sz w:val="28"/>
          <w:szCs w:val="28"/>
        </w:rPr>
      </w:pPr>
      <w:hyperlink r:id="rId8">
        <w:r w:rsidDel="00000000" w:rsidR="00000000" w:rsidRPr="00000000">
          <w:rPr>
            <w:rFonts w:ascii="Cambria" w:cs="Cambria" w:eastAsia="Cambria" w:hAnsi="Cambria"/>
            <w:color w:val="0000ff"/>
            <w:sz w:val="28"/>
            <w:szCs w:val="28"/>
            <w:u w:val="single"/>
            <w:rtl w:val="0"/>
          </w:rPr>
          <w:t xml:space="preserve">Listening Practice</w:t>
        </w:r>
      </w:hyperlink>
      <w:r w:rsidDel="00000000" w:rsidR="00000000" w:rsidRPr="00000000">
        <w:rPr>
          <w:rtl w:val="0"/>
        </w:rPr>
      </w:r>
    </w:p>
    <w:p w:rsidR="00000000" w:rsidDel="00000000" w:rsidP="00000000" w:rsidRDefault="00000000" w:rsidRPr="00000000" w14:paraId="00000022">
      <w:pPr>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3">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Resources</w:t>
      </w:r>
    </w:p>
    <w:tbl>
      <w:tblPr>
        <w:tblStyle w:val="Table2"/>
        <w:tblW w:w="10860.0" w:type="dxa"/>
        <w:jc w:val="left"/>
        <w:tblInd w:w="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60"/>
        <w:gridCol w:w="2660"/>
        <w:gridCol w:w="2720"/>
        <w:gridCol w:w="2620"/>
        <w:tblGridChange w:id="0">
          <w:tblGrid>
            <w:gridCol w:w="2860"/>
            <w:gridCol w:w="2660"/>
            <w:gridCol w:w="2720"/>
            <w:gridCol w:w="2620"/>
          </w:tblGrid>
        </w:tblGridChange>
      </w:tblGrid>
      <w:tr>
        <w:trPr>
          <w:trHeight w:val="375" w:hRule="atLeast"/>
        </w:trPr>
        <w:tc>
          <w:tcPr>
            <w:tcBorders>
              <w:top w:color="000000" w:space="0" w:sz="4" w:val="single"/>
              <w:left w:color="000000"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024">
            <w:pPr>
              <w:widowControl w:val="0"/>
              <w:jc w:val="center"/>
              <w:rPr>
                <w:sz w:val="20"/>
                <w:szCs w:val="20"/>
              </w:rPr>
            </w:pPr>
            <w:r w:rsidDel="00000000" w:rsidR="00000000" w:rsidRPr="00000000">
              <w:rPr>
                <w:rFonts w:ascii="Calibri" w:cs="Calibri" w:eastAsia="Calibri" w:hAnsi="Calibri"/>
                <w:sz w:val="28"/>
                <w:szCs w:val="28"/>
                <w:rtl w:val="0"/>
              </w:rPr>
              <w:t xml:space="preserve">Resource</w:t>
            </w:r>
            <w:r w:rsidDel="00000000" w:rsidR="00000000" w:rsidRPr="00000000">
              <w:rPr>
                <w:rtl w:val="0"/>
              </w:rPr>
            </w:r>
          </w:p>
        </w:tc>
        <w:tc>
          <w:tcPr>
            <w:tcBorders>
              <w:top w:color="000000" w:space="0" w:sz="4" w:val="single"/>
              <w:left w:color="cccccc"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025">
            <w:pPr>
              <w:widowControl w:val="0"/>
              <w:jc w:val="center"/>
              <w:rPr>
                <w:sz w:val="20"/>
                <w:szCs w:val="20"/>
              </w:rPr>
            </w:pPr>
            <w:r w:rsidDel="00000000" w:rsidR="00000000" w:rsidRPr="00000000">
              <w:rPr>
                <w:rFonts w:ascii="Calibri" w:cs="Calibri" w:eastAsia="Calibri" w:hAnsi="Calibri"/>
                <w:sz w:val="28"/>
                <w:szCs w:val="28"/>
                <w:rtl w:val="0"/>
              </w:rPr>
              <w:t xml:space="preserve">Link</w:t>
            </w:r>
            <w:r w:rsidDel="00000000" w:rsidR="00000000" w:rsidRPr="00000000">
              <w:rPr>
                <w:rtl w:val="0"/>
              </w:rPr>
            </w:r>
          </w:p>
        </w:tc>
        <w:tc>
          <w:tcPr>
            <w:tcBorders>
              <w:top w:color="000000" w:space="0" w:sz="4" w:val="single"/>
              <w:left w:color="cccccc"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026">
            <w:pPr>
              <w:widowControl w:val="0"/>
              <w:jc w:val="center"/>
              <w:rPr>
                <w:sz w:val="20"/>
                <w:szCs w:val="20"/>
              </w:rPr>
            </w:pPr>
            <w:r w:rsidDel="00000000" w:rsidR="00000000" w:rsidRPr="00000000">
              <w:rPr>
                <w:rFonts w:ascii="Calibri" w:cs="Calibri" w:eastAsia="Calibri" w:hAnsi="Calibri"/>
                <w:sz w:val="28"/>
                <w:szCs w:val="28"/>
                <w:rtl w:val="0"/>
              </w:rPr>
              <w:t xml:space="preserve">Description &amp; Use</w:t>
            </w:r>
            <w:r w:rsidDel="00000000" w:rsidR="00000000" w:rsidRPr="00000000">
              <w:rPr>
                <w:rtl w:val="0"/>
              </w:rPr>
            </w:r>
          </w:p>
        </w:tc>
        <w:tc>
          <w:tcPr>
            <w:tcBorders>
              <w:top w:color="000000" w:space="0" w:sz="4" w:val="single"/>
              <w:left w:color="cccccc" w:space="0" w:sz="6" w:val="single"/>
              <w:bottom w:color="000000" w:space="0" w:sz="6" w:val="single"/>
              <w:right w:color="000000" w:space="0" w:sz="6" w:val="single"/>
            </w:tcBorders>
            <w:shd w:fill="c9daf8" w:val="clear"/>
            <w:tcMar>
              <w:top w:w="40.0" w:type="dxa"/>
              <w:left w:w="40.0" w:type="dxa"/>
              <w:bottom w:w="40.0" w:type="dxa"/>
              <w:right w:w="40.0" w:type="dxa"/>
            </w:tcMar>
            <w:vAlign w:val="center"/>
          </w:tcPr>
          <w:p w:rsidR="00000000" w:rsidDel="00000000" w:rsidP="00000000" w:rsidRDefault="00000000" w:rsidRPr="00000000" w14:paraId="00000027">
            <w:pPr>
              <w:widowControl w:val="0"/>
              <w:jc w:val="center"/>
              <w:rPr>
                <w:sz w:val="20"/>
                <w:szCs w:val="20"/>
              </w:rPr>
            </w:pPr>
            <w:r w:rsidDel="00000000" w:rsidR="00000000" w:rsidRPr="00000000">
              <w:rPr>
                <w:rFonts w:ascii="Calibri" w:cs="Calibri" w:eastAsia="Calibri" w:hAnsi="Calibri"/>
                <w:sz w:val="28"/>
                <w:szCs w:val="28"/>
                <w:rtl w:val="0"/>
              </w:rPr>
              <w:t xml:space="preserve">Extensions &amp; Modifications</w:t>
            </w:r>
            <w:r w:rsidDel="00000000" w:rsidR="00000000" w:rsidRPr="00000000">
              <w:rPr>
                <w:rtl w:val="0"/>
              </w:rPr>
            </w:r>
          </w:p>
        </w:tc>
      </w:tr>
      <w:tr>
        <w:trPr>
          <w:trHeight w:val="2745" w:hRule="atLeast"/>
        </w:trPr>
        <w:tc>
          <w:tcPr>
            <w:tcBorders>
              <w:top w:color="cccccc" w:space="0" w:sz="6" w:val="single"/>
              <w:left w:color="000000"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28">
            <w:pPr>
              <w:widowControl w:val="0"/>
              <w:rPr>
                <w:sz w:val="20"/>
                <w:szCs w:val="20"/>
              </w:rPr>
            </w:pPr>
            <w:r w:rsidDel="00000000" w:rsidR="00000000" w:rsidRPr="00000000">
              <w:rPr>
                <w:rFonts w:ascii="Calibri" w:cs="Calibri" w:eastAsia="Calibri" w:hAnsi="Calibri"/>
                <w:b w:val="1"/>
                <w:sz w:val="24"/>
                <w:szCs w:val="24"/>
                <w:rtl w:val="0"/>
              </w:rPr>
              <w:t xml:space="preserve">Textbook Accompanied Website</w:t>
            </w:r>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29">
            <w:pPr>
              <w:widowControl w:val="0"/>
              <w:rPr>
                <w:sz w:val="20"/>
                <w:szCs w:val="20"/>
              </w:rPr>
            </w:pPr>
            <w:hyperlink r:id="rId9">
              <w:r w:rsidDel="00000000" w:rsidR="00000000" w:rsidRPr="00000000">
                <w:rPr>
                  <w:color w:val="0000ff"/>
                  <w:u w:val="single"/>
                  <w:rtl w:val="0"/>
                </w:rPr>
                <w:t xml:space="preserve">https://wps.prenhall.com/wl_wu_chinese_link_2nd_edition/145/37150/9510631.cw/index.html</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2A">
            <w:pPr>
              <w:widowControl w:val="0"/>
              <w:rPr>
                <w:sz w:val="20"/>
                <w:szCs w:val="20"/>
              </w:rPr>
            </w:pPr>
            <w:r w:rsidDel="00000000" w:rsidR="00000000" w:rsidRPr="00000000">
              <w:rPr>
                <w:rFonts w:ascii="Cambria" w:cs="Cambria" w:eastAsia="Cambria" w:hAnsi="Cambria"/>
                <w:rtl w:val="0"/>
              </w:rPr>
              <w:t xml:space="preserve">This website provides audio access of the textbook.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B">
            <w:pPr>
              <w:widowControl w:val="0"/>
              <w:rPr>
                <w:sz w:val="20"/>
                <w:szCs w:val="20"/>
              </w:rPr>
            </w:pPr>
            <w:r w:rsidDel="00000000" w:rsidR="00000000" w:rsidRPr="00000000">
              <w:rPr>
                <w:rtl w:val="0"/>
              </w:rPr>
            </w:r>
          </w:p>
        </w:tc>
      </w:tr>
      <w:tr>
        <w:trPr>
          <w:trHeight w:val="615" w:hRule="atLeast"/>
        </w:trPr>
        <w:tc>
          <w:tcPr>
            <w:tcBorders>
              <w:top w:color="cccccc" w:space="0" w:sz="6" w:val="single"/>
              <w:left w:color="000000"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2C">
            <w:pPr>
              <w:widowControl w:val="0"/>
              <w:rPr>
                <w:sz w:val="20"/>
                <w:szCs w:val="20"/>
              </w:rPr>
            </w:pPr>
            <w:r w:rsidDel="00000000" w:rsidR="00000000" w:rsidRPr="00000000">
              <w:rPr>
                <w:rFonts w:ascii="Calibri" w:cs="Calibri" w:eastAsia="Calibri" w:hAnsi="Calibri"/>
                <w:b w:val="1"/>
                <w:sz w:val="24"/>
                <w:szCs w:val="24"/>
                <w:rtl w:val="0"/>
              </w:rPr>
              <w:t xml:space="preserve">Chinese Buddy</w:t>
            </w:r>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2D">
            <w:pPr>
              <w:widowControl w:val="0"/>
              <w:rPr>
                <w:sz w:val="20"/>
                <w:szCs w:val="20"/>
              </w:rPr>
            </w:pPr>
            <w:hyperlink r:id="rId10">
              <w:r w:rsidDel="00000000" w:rsidR="00000000" w:rsidRPr="00000000">
                <w:rPr>
                  <w:color w:val="0000ff"/>
                  <w:u w:val="single"/>
                  <w:rtl w:val="0"/>
                </w:rPr>
                <w:t xml:space="preserve">https://www.youtube.com/channel/UCJdwm0ut_GzVT5VzzylqDQA</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2E">
            <w:pPr>
              <w:widowControl w:val="0"/>
              <w:rPr>
                <w:sz w:val="20"/>
                <w:szCs w:val="20"/>
              </w:rPr>
            </w:pPr>
            <w:r w:rsidDel="00000000" w:rsidR="00000000" w:rsidRPr="00000000">
              <w:rPr>
                <w:rFonts w:ascii="Cambria" w:cs="Cambria" w:eastAsia="Cambria" w:hAnsi="Cambria"/>
                <w:rtl w:val="0"/>
              </w:rPr>
              <w:t xml:space="preserve">Learning textbook materials through songs.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2F">
            <w:pPr>
              <w:widowControl w:val="0"/>
              <w:rPr>
                <w:sz w:val="20"/>
                <w:szCs w:val="20"/>
              </w:rPr>
            </w:pPr>
            <w:r w:rsidDel="00000000" w:rsidR="00000000" w:rsidRPr="00000000">
              <w:rPr>
                <w:rtl w:val="0"/>
              </w:rPr>
            </w:r>
          </w:p>
        </w:tc>
      </w:tr>
      <w:tr>
        <w:trPr>
          <w:trHeight w:val="1365" w:hRule="atLeast"/>
        </w:trPr>
        <w:tc>
          <w:tcPr>
            <w:tcBorders>
              <w:top w:color="cccccc" w:space="0" w:sz="6" w:val="single"/>
              <w:left w:color="000000"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30">
            <w:pPr>
              <w:widowControl w:val="0"/>
              <w:rPr>
                <w:sz w:val="20"/>
                <w:szCs w:val="20"/>
              </w:rPr>
            </w:pPr>
            <w:r w:rsidDel="00000000" w:rsidR="00000000" w:rsidRPr="00000000">
              <w:rPr>
                <w:rFonts w:ascii="Calibri" w:cs="Calibri" w:eastAsia="Calibri" w:hAnsi="Calibri"/>
                <w:b w:val="1"/>
                <w:sz w:val="24"/>
                <w:szCs w:val="24"/>
                <w:rtl w:val="0"/>
              </w:rPr>
              <w:t xml:space="preserve">Sentence Structure Practice</w:t>
            </w:r>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31">
            <w:pPr>
              <w:widowControl w:val="0"/>
              <w:rPr>
                <w:sz w:val="20"/>
                <w:szCs w:val="20"/>
              </w:rPr>
            </w:pPr>
            <w:r w:rsidDel="00000000" w:rsidR="00000000" w:rsidRPr="00000000">
              <w:rPr>
                <w:rFonts w:ascii="Calibri" w:cs="Calibri" w:eastAsia="Calibri" w:hAnsi="Calibri"/>
                <w:color w:val="1155cc"/>
                <w:sz w:val="24"/>
                <w:szCs w:val="24"/>
                <w:u w:val="single"/>
                <w:rtl w:val="0"/>
              </w:rPr>
              <w:t xml:space="preserve">https://drive.google.com/open?id=1D0p2dWxZR6YjFKhro8qCvqzbjKPNn0NV</w:t>
            </w:r>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32">
            <w:pPr>
              <w:widowControl w:val="0"/>
              <w:rPr>
                <w:sz w:val="20"/>
                <w:szCs w:val="20"/>
              </w:rPr>
            </w:pPr>
            <w:r w:rsidDel="00000000" w:rsidR="00000000" w:rsidRPr="00000000">
              <w:rPr>
                <w:rFonts w:ascii="Cambria" w:cs="Cambria" w:eastAsia="Cambria" w:hAnsi="Cambria"/>
                <w:rtl w:val="0"/>
              </w:rPr>
              <w:t xml:space="preserve">Sentence structure worksheets for familiarity.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3">
            <w:pPr>
              <w:widowControl w:val="0"/>
              <w:rPr>
                <w:sz w:val="20"/>
                <w:szCs w:val="20"/>
              </w:rPr>
            </w:pPr>
            <w:r w:rsidDel="00000000" w:rsidR="00000000" w:rsidRPr="00000000">
              <w:rPr>
                <w:rtl w:val="0"/>
              </w:rPr>
            </w:r>
          </w:p>
        </w:tc>
      </w:tr>
      <w:tr>
        <w:trPr>
          <w:trHeight w:val="1365" w:hRule="atLeast"/>
        </w:trPr>
        <w:tc>
          <w:tcPr>
            <w:tcBorders>
              <w:top w:color="cccccc" w:space="0" w:sz="6" w:val="single"/>
              <w:left w:color="000000"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34">
            <w:pPr>
              <w:widowControl w:val="0"/>
              <w:rPr>
                <w:sz w:val="20"/>
                <w:szCs w:val="20"/>
              </w:rPr>
            </w:pPr>
            <w:r w:rsidDel="00000000" w:rsidR="00000000" w:rsidRPr="00000000">
              <w:rPr>
                <w:rFonts w:ascii="Calibri" w:cs="Calibri" w:eastAsia="Calibri" w:hAnsi="Calibri"/>
                <w:b w:val="1"/>
                <w:sz w:val="24"/>
                <w:szCs w:val="24"/>
                <w:rtl w:val="0"/>
              </w:rPr>
              <w:t xml:space="preserve">Listening Comprehension </w:t>
            </w:r>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35">
            <w:pPr>
              <w:widowControl w:val="0"/>
              <w:rPr>
                <w:sz w:val="20"/>
                <w:szCs w:val="20"/>
              </w:rPr>
            </w:pPr>
            <w:r w:rsidDel="00000000" w:rsidR="00000000" w:rsidRPr="00000000">
              <w:rPr>
                <w:sz w:val="20"/>
                <w:szCs w:val="20"/>
                <w:rtl w:val="0"/>
              </w:rPr>
              <w:t xml:space="preserve">https://drive.google.com/open?id=1CVWnwr8g-T0eZNYAG8OJ35FXYj4rmvN0</w:t>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36">
            <w:pPr>
              <w:widowControl w:val="0"/>
              <w:rPr>
                <w:sz w:val="20"/>
                <w:szCs w:val="20"/>
              </w:rPr>
            </w:pPr>
            <w:r w:rsidDel="00000000" w:rsidR="00000000" w:rsidRPr="00000000">
              <w:rPr>
                <w:rFonts w:ascii="Cambria" w:cs="Cambria" w:eastAsia="Cambria" w:hAnsi="Cambria"/>
                <w:rtl w:val="0"/>
              </w:rPr>
              <w:t xml:space="preserve">Practice listening skills through lesson-related materials. </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7">
            <w:pPr>
              <w:widowControl w:val="0"/>
              <w:rPr>
                <w:sz w:val="20"/>
                <w:szCs w:val="20"/>
              </w:rPr>
            </w:pPr>
            <w:r w:rsidDel="00000000" w:rsidR="00000000" w:rsidRPr="00000000">
              <w:rPr>
                <w:rtl w:val="0"/>
              </w:rPr>
            </w:r>
          </w:p>
        </w:tc>
      </w:tr>
      <w:tr>
        <w:trPr>
          <w:trHeight w:val="1110" w:hRule="atLeast"/>
        </w:trPr>
        <w:tc>
          <w:tcPr>
            <w:tcBorders>
              <w:top w:color="cccccc" w:space="0" w:sz="6" w:val="single"/>
              <w:left w:color="000000"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38">
            <w:pPr>
              <w:widowControl w:val="0"/>
              <w:rPr>
                <w:sz w:val="20"/>
                <w:szCs w:val="20"/>
              </w:rPr>
            </w:pPr>
            <w:r w:rsidDel="00000000" w:rsidR="00000000" w:rsidRPr="00000000">
              <w:rPr>
                <w:rFonts w:ascii="Calibri" w:cs="Calibri" w:eastAsia="Calibri" w:hAnsi="Calibri"/>
                <w:b w:val="1"/>
                <w:sz w:val="24"/>
                <w:szCs w:val="24"/>
                <w:rtl w:val="0"/>
              </w:rPr>
              <w:t xml:space="preserve">Chinese Stories</w:t>
            </w:r>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39">
            <w:pPr>
              <w:widowControl w:val="0"/>
              <w:rPr>
                <w:sz w:val="20"/>
                <w:szCs w:val="20"/>
              </w:rPr>
            </w:pPr>
            <w:hyperlink r:id="rId11">
              <w:r w:rsidDel="00000000" w:rsidR="00000000" w:rsidRPr="00000000">
                <w:rPr>
                  <w:color w:val="0000ff"/>
                  <w:u w:val="single"/>
                  <w:rtl w:val="0"/>
                </w:rPr>
                <w:t xml:space="preserve">https://edu.chinese-stories.com/main.php</w:t>
              </w:r>
            </w:hyperlink>
            <w:r w:rsidDel="00000000" w:rsidR="00000000" w:rsidRPr="00000000">
              <w:rPr>
                <w:rtl w:val="0"/>
              </w:rPr>
            </w:r>
          </w:p>
        </w:tc>
        <w:tc>
          <w:tcPr>
            <w:tcBorders>
              <w:top w:color="cccccc" w:space="0" w:sz="6" w:val="single"/>
              <w:left w:color="cccccc" w:space="0" w:sz="6" w:val="single"/>
              <w:bottom w:color="000000" w:space="0" w:sz="6" w:val="single"/>
              <w:right w:color="000000" w:space="0" w:sz="6" w:val="dotted"/>
            </w:tcBorders>
            <w:shd w:fill="ffffff" w:val="clear"/>
            <w:tcMar>
              <w:top w:w="40.0" w:type="dxa"/>
              <w:left w:w="40.0" w:type="dxa"/>
              <w:bottom w:w="40.0" w:type="dxa"/>
              <w:right w:w="40.0" w:type="dxa"/>
            </w:tcMar>
            <w:vAlign w:val="center"/>
          </w:tcPr>
          <w:p w:rsidR="00000000" w:rsidDel="00000000" w:rsidP="00000000" w:rsidRDefault="00000000" w:rsidRPr="00000000" w14:paraId="0000003A">
            <w:pPr>
              <w:widowControl w:val="0"/>
              <w:rPr>
                <w:sz w:val="20"/>
                <w:szCs w:val="20"/>
              </w:rPr>
            </w:pPr>
            <w:r w:rsidDel="00000000" w:rsidR="00000000" w:rsidRPr="00000000">
              <w:rPr>
                <w:sz w:val="20"/>
                <w:szCs w:val="20"/>
                <w:rtl w:val="0"/>
              </w:rPr>
              <w:t xml:space="preserve">Learn Mandarin from Chinese stories. </w:t>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B">
            <w:pPr>
              <w:widowControl w:val="0"/>
              <w:rPr>
                <w:sz w:val="20"/>
                <w:szCs w:val="20"/>
              </w:rPr>
            </w:pPr>
            <w:r w:rsidDel="00000000" w:rsidR="00000000" w:rsidRPr="00000000">
              <w:rPr>
                <w:rtl w:val="0"/>
              </w:rPr>
            </w:r>
          </w:p>
        </w:tc>
      </w:tr>
      <w:tr>
        <w:trPr>
          <w:trHeight w:val="2745" w:hRule="atLeast"/>
        </w:trPr>
        <w:tc>
          <w:tcPr>
            <w:tcBorders>
              <w:top w:color="000000" w:space="0" w:sz="4" w:val="single"/>
              <w:left w:color="000000" w:space="0" w:sz="6" w:val="single"/>
              <w:bottom w:color="000000" w:space="0" w:sz="4"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3C">
            <w:pPr>
              <w:widowControl w:val="0"/>
              <w:rPr>
                <w:sz w:val="20"/>
                <w:szCs w:val="20"/>
              </w:rPr>
            </w:pPr>
            <w:r w:rsidDel="00000000" w:rsidR="00000000" w:rsidRPr="00000000">
              <w:rPr>
                <w:rFonts w:ascii="Calibri" w:cs="Calibri" w:eastAsia="Calibri" w:hAnsi="Calibri"/>
                <w:b w:val="1"/>
                <w:sz w:val="24"/>
                <w:szCs w:val="24"/>
                <w:rtl w:val="0"/>
              </w:rPr>
              <w:t xml:space="preserve">Quizlet</w:t>
            </w:r>
            <w:r w:rsidDel="00000000" w:rsidR="00000000" w:rsidRPr="00000000">
              <w:rPr>
                <w:rtl w:val="0"/>
              </w:rPr>
            </w:r>
          </w:p>
        </w:tc>
        <w:tc>
          <w:tcPr>
            <w:tcBorders>
              <w:top w:color="000000" w:space="0" w:sz="4" w:val="single"/>
              <w:left w:color="cccccc" w:space="0" w:sz="6" w:val="single"/>
              <w:bottom w:color="000000" w:space="0" w:sz="4"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D">
            <w:pPr>
              <w:widowControl w:val="0"/>
              <w:rPr>
                <w:sz w:val="20"/>
                <w:szCs w:val="20"/>
              </w:rPr>
            </w:pPr>
            <w:hyperlink r:id="rId12">
              <w:r w:rsidDel="00000000" w:rsidR="00000000" w:rsidRPr="00000000">
                <w:rPr>
                  <w:rFonts w:ascii="Calibri" w:cs="Calibri" w:eastAsia="Calibri" w:hAnsi="Calibri"/>
                  <w:color w:val="1155cc"/>
                  <w:sz w:val="24"/>
                  <w:szCs w:val="24"/>
                  <w:u w:val="single"/>
                  <w:rtl w:val="0"/>
                </w:rPr>
                <w:t xml:space="preserve">www.quizlet.com</w:t>
              </w:r>
            </w:hyperlink>
            <w:r w:rsidDel="00000000" w:rsidR="00000000" w:rsidRPr="00000000">
              <w:rPr>
                <w:rtl w:val="0"/>
              </w:rPr>
            </w:r>
          </w:p>
        </w:tc>
        <w:tc>
          <w:tcPr>
            <w:tcBorders>
              <w:top w:color="000000" w:space="0" w:sz="4" w:val="single"/>
              <w:left w:color="cccccc" w:space="0" w:sz="6" w:val="single"/>
              <w:bottom w:color="000000" w:space="0" w:sz="4"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3E">
            <w:pPr>
              <w:widowControl w:val="0"/>
              <w:rPr>
                <w:sz w:val="20"/>
                <w:szCs w:val="20"/>
              </w:rPr>
            </w:pPr>
            <w:r w:rsidDel="00000000" w:rsidR="00000000" w:rsidRPr="00000000">
              <w:rPr>
                <w:rFonts w:ascii="Cambria" w:cs="Cambria" w:eastAsia="Cambria" w:hAnsi="Cambria"/>
                <w:rtl w:val="0"/>
              </w:rPr>
              <w:t xml:space="preserve">Students can search for hva-Chinese or create their own flashcard decks. These flashcard decks allow students to hear the pronunciation of the words being studied in the target language along with provide a variety of study options for the words in the deck.</w:t>
            </w:r>
            <w:r w:rsidDel="00000000" w:rsidR="00000000" w:rsidRPr="00000000">
              <w:rPr>
                <w:rtl w:val="0"/>
              </w:rPr>
            </w:r>
          </w:p>
        </w:tc>
        <w:tc>
          <w:tcPr>
            <w:tcBorders>
              <w:top w:color="000000" w:space="0" w:sz="4" w:val="single"/>
              <w:left w:color="cccccc" w:space="0" w:sz="6" w:val="single"/>
              <w:bottom w:color="000000" w:space="0" w:sz="4"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3F">
            <w:pPr>
              <w:widowControl w:val="0"/>
              <w:rPr>
                <w:sz w:val="20"/>
                <w:szCs w:val="20"/>
              </w:rPr>
            </w:pPr>
            <w:r w:rsidDel="00000000" w:rsidR="00000000" w:rsidRPr="00000000">
              <w:rPr>
                <w:rtl w:val="0"/>
              </w:rPr>
            </w:r>
          </w:p>
        </w:tc>
      </w:tr>
      <w:tr>
        <w:trPr>
          <w:trHeight w:val="2745" w:hRule="atLeast"/>
        </w:trPr>
        <w:tc>
          <w:tcPr>
            <w:tcBorders>
              <w:top w:color="000000" w:space="0" w:sz="4" w:val="single"/>
              <w:left w:color="000000"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40">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Purple Culture</w:t>
            </w:r>
          </w:p>
        </w:tc>
        <w:tc>
          <w:tcPr>
            <w:tcBorders>
              <w:top w:color="000000" w:space="0" w:sz="4" w:val="single"/>
              <w:left w:color="cccccc" w:space="0" w:sz="6" w:val="single"/>
              <w:bottom w:color="000000" w:space="0" w:sz="6" w:val="single"/>
              <w:right w:color="cccccc"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1">
            <w:pPr>
              <w:widowControl w:val="0"/>
              <w:rPr>
                <w:rFonts w:ascii="Calibri" w:cs="Calibri" w:eastAsia="Calibri" w:hAnsi="Calibri"/>
                <w:color w:val="1155cc"/>
                <w:sz w:val="24"/>
                <w:szCs w:val="24"/>
                <w:u w:val="single"/>
              </w:rPr>
            </w:pPr>
            <w:hyperlink r:id="rId13">
              <w:r w:rsidDel="00000000" w:rsidR="00000000" w:rsidRPr="00000000">
                <w:rPr>
                  <w:color w:val="0000ff"/>
                  <w:u w:val="single"/>
                  <w:rtl w:val="0"/>
                </w:rPr>
                <w:t xml:space="preserve">https://www.purpleculture.net/chinese-pinyin-converter/</w:t>
              </w:r>
            </w:hyperlink>
            <w:r w:rsidDel="00000000" w:rsidR="00000000" w:rsidRPr="00000000">
              <w:rPr>
                <w:rtl w:val="0"/>
              </w:rPr>
            </w:r>
          </w:p>
        </w:tc>
        <w:tc>
          <w:tcPr>
            <w:tcBorders>
              <w:top w:color="000000" w:space="0" w:sz="4" w:val="single"/>
              <w:left w:color="cccccc" w:space="0" w:sz="6" w:val="single"/>
              <w:bottom w:color="000000" w:space="0" w:sz="6" w:val="single"/>
              <w:right w:color="000000" w:space="0" w:sz="6" w:val="dotted"/>
            </w:tcBorders>
            <w:shd w:fill="auto" w:val="clear"/>
            <w:tcMar>
              <w:top w:w="40.0" w:type="dxa"/>
              <w:left w:w="40.0" w:type="dxa"/>
              <w:bottom w:w="40.0" w:type="dxa"/>
              <w:right w:w="40.0" w:type="dxa"/>
            </w:tcMar>
            <w:vAlign w:val="center"/>
          </w:tcPr>
          <w:p w:rsidR="00000000" w:rsidDel="00000000" w:rsidP="00000000" w:rsidRDefault="00000000" w:rsidRPr="00000000" w14:paraId="00000042">
            <w:pPr>
              <w:widowControl w:val="0"/>
              <w:rPr>
                <w:rFonts w:ascii="Cambria" w:cs="Cambria" w:eastAsia="Cambria" w:hAnsi="Cambria"/>
              </w:rPr>
            </w:pPr>
            <w:r w:rsidDel="00000000" w:rsidR="00000000" w:rsidRPr="00000000">
              <w:rPr>
                <w:rFonts w:ascii="Cambria" w:cs="Cambria" w:eastAsia="Cambria" w:hAnsi="Cambria"/>
                <w:rtl w:val="0"/>
              </w:rPr>
              <w:t xml:space="preserve">Learn how to type Chinese via listening to the target language. </w:t>
            </w:r>
          </w:p>
        </w:tc>
        <w:tc>
          <w:tcPr>
            <w:tcBorders>
              <w:top w:color="000000" w:space="0" w:sz="4"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43">
            <w:pPr>
              <w:widowControl w:val="0"/>
              <w:rPr>
                <w:sz w:val="20"/>
                <w:szCs w:val="20"/>
              </w:rPr>
            </w:pPr>
            <w:r w:rsidDel="00000000" w:rsidR="00000000" w:rsidRPr="00000000">
              <w:rPr>
                <w:rtl w:val="0"/>
              </w:rPr>
            </w:r>
          </w:p>
        </w:tc>
      </w:tr>
    </w:tbl>
    <w:p w:rsidR="00000000" w:rsidDel="00000000" w:rsidP="00000000" w:rsidRDefault="00000000" w:rsidRPr="00000000" w14:paraId="00000044">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5">
      <w:pPr>
        <w:rPr>
          <w:rFonts w:ascii="Cambria" w:cs="Cambria" w:eastAsia="Cambria" w:hAnsi="Cambria"/>
          <w:sz w:val="28"/>
          <w:szCs w:val="28"/>
        </w:rPr>
      </w:pPr>
      <w:r w:rsidDel="00000000" w:rsidR="00000000" w:rsidRPr="00000000">
        <w:rPr>
          <w:rtl w:val="0"/>
        </w:rPr>
      </w:r>
    </w:p>
    <w:p w:rsidR="00000000" w:rsidDel="00000000" w:rsidP="00000000" w:rsidRDefault="00000000" w:rsidRPr="00000000" w14:paraId="00000046">
      <w:pP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Structures</w:t>
      </w:r>
    </w:p>
    <w:p w:rsidR="00000000" w:rsidDel="00000000" w:rsidP="00000000" w:rsidRDefault="00000000" w:rsidRPr="00000000" w14:paraId="00000047">
      <w:pPr>
        <w:rPr>
          <w:rFonts w:ascii="Cambria" w:cs="Cambria" w:eastAsia="Cambria" w:hAnsi="Cambria"/>
          <w:sz w:val="28"/>
          <w:szCs w:val="28"/>
        </w:rPr>
      </w:pPr>
      <w:r w:rsidDel="00000000" w:rsidR="00000000" w:rsidRPr="00000000">
        <w:rPr>
          <w:rFonts w:ascii="Cambria" w:cs="Cambria" w:eastAsia="Cambria" w:hAnsi="Cambria"/>
          <w:sz w:val="28"/>
          <w:szCs w:val="28"/>
          <w:rtl w:val="0"/>
        </w:rPr>
        <w:t xml:space="preserve">While communication is the focus of a world language education, the Summer Scholar’s Guide provides additional opportunities to reinforce language structures (grammar and syntax) by providing alternate explanations and additional practice for students. </w:t>
      </w:r>
    </w:p>
    <w:p w:rsidR="00000000" w:rsidDel="00000000" w:rsidP="00000000" w:rsidRDefault="00000000" w:rsidRPr="00000000" w14:paraId="00000048">
      <w:pPr>
        <w:rPr>
          <w:rFonts w:ascii="Cambria" w:cs="Cambria" w:eastAsia="Cambria" w:hAnsi="Cambria"/>
          <w:sz w:val="28"/>
          <w:szCs w:val="28"/>
        </w:rPr>
      </w:pPr>
      <w:bookmarkStart w:colFirst="0" w:colLast="0" w:name="_heading=h.gjdgxs" w:id="0"/>
      <w:bookmarkEnd w:id="0"/>
      <w:hyperlink r:id="rId14">
        <w:r w:rsidDel="00000000" w:rsidR="00000000" w:rsidRPr="00000000">
          <w:rPr>
            <w:rFonts w:ascii="Cambria" w:cs="Cambria" w:eastAsia="Cambria" w:hAnsi="Cambria"/>
            <w:color w:val="0000ff"/>
            <w:sz w:val="28"/>
            <w:szCs w:val="28"/>
            <w:u w:val="single"/>
            <w:rtl w:val="0"/>
          </w:rPr>
          <w:t xml:space="preserve">Sentence Structure Practice</w:t>
        </w:r>
      </w:hyperlink>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ambria"/>
  <w:font w:name="Times New Roman"/>
  <w:font w:name="Gungsuh"/>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rFonts w:eastAsia="Arial"/>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BA1E38"/>
    <w:rPr>
      <w:color w:val="0000ff" w:themeColor="hyperlink"/>
      <w:u w:val="single"/>
    </w:rPr>
  </w:style>
  <w:style w:type="character" w:styleId="FollowedHyperlink">
    <w:name w:val="FollowedHyperlink"/>
    <w:basedOn w:val="DefaultParagraphFont"/>
    <w:uiPriority w:val="99"/>
    <w:semiHidden w:val="1"/>
    <w:unhideWhenUsed w:val="1"/>
    <w:rsid w:val="00BA1E38"/>
    <w:rPr>
      <w:color w:val="800080" w:themeColor="followedHyperlink"/>
      <w:u w:val="single"/>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edu.chinese-stories.com/main.php" TargetMode="External"/><Relationship Id="rId10" Type="http://schemas.openxmlformats.org/officeDocument/2006/relationships/hyperlink" Target="https://www.youtube.com/channel/UCJdwm0ut_GzVT5VzzylqDQA" TargetMode="External"/><Relationship Id="rId13" Type="http://schemas.openxmlformats.org/officeDocument/2006/relationships/hyperlink" Target="https://www.purpleculture.net/chinese-pinyin-converter/" TargetMode="External"/><Relationship Id="rId12" Type="http://schemas.openxmlformats.org/officeDocument/2006/relationships/hyperlink" Target="http://www.quizlet.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ps.prenhall.com/wl_wu_chinese_link_2nd_edition/145/37150/9510631.cw/index.html" TargetMode="External"/><Relationship Id="rId14" Type="http://schemas.openxmlformats.org/officeDocument/2006/relationships/hyperlink" Target="https://drive.google.com/open?id=1D0p2dWxZR6YjFKhro8qCvqzbjKPNn0NV"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ps.prenhall.com/wl_wu_chinese_link_2nd_edition/145/37150/9510631.cw/index.html" TargetMode="External"/><Relationship Id="rId8" Type="http://schemas.openxmlformats.org/officeDocument/2006/relationships/hyperlink" Target="https://drive.google.com/open?id=1CVWnwr8g-T0eZNYAG8OJ35FXYj4rmvN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ec9KkMwTFWM1lUer6LLc3xIi1A==">AMUW2mVlTc0V+b6F1wen1lNYB4dTXbUjk3IxmljYntl58Gt9t94+Im0DkvxjHXq/abt/xOyqTYfeih4jOT4pwXsNZuZ2MZ0aO8itTy6w+CNQ42pOyUdhm5rOSmUS1hP35Icq7Hkm/1EHJOOP4DfT9JRvAYtgzD3AMPgZhXjeL4RZgRRqcElKCynnl+VD1l8+4Zrqamppm8K3P9/YcVCbPd4xIyCYLzIGsz+ItP47MD3x7GTiRq1e2eOhK0qdk4jRKRGxY8i2jcFW+xq8e+atJYRyZch+YKZJII8l4HSBqHL0IhNOfdm0Y6ufVBi6ai4n9sWzW8kiE7YhqyyU+RAHttpLSCRcgx2d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2020-05-15T23:24:00Z</dcterms:created>
  <dc:creator>FRANK CHEN</dc:creator>
</cp:coreProperties>
</file>